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PLSC Personnel Licensure Stakeholder</w:t>
      </w:r>
      <w:r w:rsidDel="00000000" w:rsidR="00000000" w:rsidRPr="00000000">
        <w:rPr>
          <w:rFonts w:ascii="Calibri" w:cs="Calibri" w:eastAsia="Calibri" w:hAnsi="Calibri"/>
          <w:b w:val="1"/>
          <w:rtl w:val="0"/>
        </w:rPr>
        <w:t xml:space="preserve"> Committee Meeting</w:t>
      </w:r>
      <w:r w:rsidDel="00000000" w:rsidR="00000000" w:rsidRPr="00000000">
        <w:rPr>
          <w:rtl w:val="0"/>
        </w:rPr>
      </w:r>
    </w:p>
    <w:p w:rsidR="00000000" w:rsidDel="00000000" w:rsidP="00000000" w:rsidRDefault="00000000" w:rsidRPr="00000000" w14:paraId="00000002">
      <w:pPr>
        <w:rPr>
          <w:rFonts w:ascii="Calibri" w:cs="Calibri" w:eastAsia="Calibri" w:hAnsi="Calibri"/>
          <w:i w:val="1"/>
        </w:rPr>
      </w:pPr>
      <w:r w:rsidDel="00000000" w:rsidR="00000000" w:rsidRPr="00000000">
        <w:rPr>
          <w:rFonts w:ascii="Calibri" w:cs="Calibri" w:eastAsia="Calibri" w:hAnsi="Calibri"/>
          <w:rtl w:val="0"/>
        </w:rPr>
        <w:t xml:space="preserve">Meeting: 1/16/2024 at 12:00pm</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1:00 pm Meeting started by by James Weber</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Opening Discussion including a review of the agenda of the meeting.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James Weber reviewed the purpose statement of the PLSC, defining the scope and purpose of the EMS stakeholder committee. James defined the stakeholders, and encouraged participants to ensure all stakeholder within their agency to have a common operating picture to the credentialing process. </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James Weber reviewed the DC EMS certification process, specifically the NREMT requirement, and the timeline to credential in DC, including the national and local competency requirement. </w:t>
      </w:r>
    </w:p>
    <w:p w:rsidR="00000000" w:rsidDel="00000000" w:rsidP="00000000" w:rsidRDefault="00000000" w:rsidRPr="00000000" w14:paraId="0000000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James Weber reviewed the step by step process for recertifying NREMT, including changes to the national continued competency requirement, and the local requirement. </w:t>
      </w:r>
    </w:p>
    <w:p w:rsidR="00000000" w:rsidDel="00000000" w:rsidP="00000000" w:rsidRDefault="00000000" w:rsidRPr="00000000" w14:paraId="0000000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Challenges with the ePortal of late. Currently, no “AHA” option exists in the dropdown. Should be corrected by 3/31. Also, inactive accounts are occurring with providers that have not interacted with the portal in the prior 120 days. Up to 3000 providers appear to be impacted, will be corrected by the start of the recertification period. </w:t>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D">
      <w:pPr>
        <w:ind w:left="0" w:firstLine="0"/>
        <w:rPr>
          <w:rFonts w:ascii="Calibri" w:cs="Calibri" w:eastAsia="Calibri" w:hAnsi="Calibri"/>
        </w:rPr>
      </w:pPr>
      <w:r w:rsidDel="00000000" w:rsidR="00000000" w:rsidRPr="00000000">
        <w:rPr>
          <w:rFonts w:ascii="Calibri" w:cs="Calibri" w:eastAsia="Calibri" w:hAnsi="Calibri"/>
          <w:rtl w:val="0"/>
        </w:rPr>
        <w:t xml:space="preserve">Renewal period timeline was reviewed</w:t>
      </w:r>
    </w:p>
    <w:p w:rsidR="00000000" w:rsidDel="00000000" w:rsidP="00000000" w:rsidRDefault="00000000" w:rsidRPr="00000000" w14:paraId="0000000E">
      <w:pPr>
        <w:widowControl w:val="0"/>
        <w:rPr>
          <w:rFonts w:ascii="Calibri" w:cs="Calibri" w:eastAsia="Calibri" w:hAnsi="Calibri"/>
        </w:rPr>
      </w:pPr>
      <w:r w:rsidDel="00000000" w:rsidR="00000000" w:rsidRPr="00000000">
        <w:rPr>
          <w:rFonts w:ascii="Calibri" w:cs="Calibri" w:eastAsia="Calibri" w:hAnsi="Calibri"/>
          <w:rtl w:val="0"/>
        </w:rPr>
        <w:t xml:space="preserve">1/16/2024: Discuss renewal procedures and potential problems with the PLC committee. </w:t>
      </w:r>
    </w:p>
    <w:p w:rsidR="00000000" w:rsidDel="00000000" w:rsidP="00000000" w:rsidRDefault="00000000" w:rsidRPr="00000000" w14:paraId="0000000F">
      <w:pPr>
        <w:widowControl w:val="0"/>
        <w:rPr>
          <w:rFonts w:ascii="Calibri" w:cs="Calibri" w:eastAsia="Calibri" w:hAnsi="Calibri"/>
        </w:rPr>
      </w:pPr>
      <w:r w:rsidDel="00000000" w:rsidR="00000000" w:rsidRPr="00000000">
        <w:rPr>
          <w:rFonts w:ascii="Calibri" w:cs="Calibri" w:eastAsia="Calibri" w:hAnsi="Calibri"/>
          <w:rtl w:val="0"/>
        </w:rPr>
        <w:t xml:space="preserve">1/17/2024: Push job aids to for ePortal</w:t>
      </w:r>
    </w:p>
    <w:p w:rsidR="00000000" w:rsidDel="00000000" w:rsidP="00000000" w:rsidRDefault="00000000" w:rsidRPr="00000000" w14:paraId="00000010">
      <w:pPr>
        <w:widowControl w:val="0"/>
        <w:rPr>
          <w:rFonts w:ascii="Calibri" w:cs="Calibri" w:eastAsia="Calibri" w:hAnsi="Calibri"/>
        </w:rPr>
      </w:pPr>
      <w:r w:rsidDel="00000000" w:rsidR="00000000" w:rsidRPr="00000000">
        <w:rPr>
          <w:rFonts w:ascii="Calibri" w:cs="Calibri" w:eastAsia="Calibri" w:hAnsi="Calibri"/>
          <w:rtl w:val="0"/>
        </w:rPr>
        <w:t xml:space="preserve">2/01/2024: Distribute timeline memo to providers. </w:t>
      </w:r>
    </w:p>
    <w:p w:rsidR="00000000" w:rsidDel="00000000" w:rsidP="00000000" w:rsidRDefault="00000000" w:rsidRPr="00000000" w14:paraId="00000011">
      <w:pPr>
        <w:widowControl w:val="0"/>
        <w:rPr>
          <w:rFonts w:ascii="Calibri" w:cs="Calibri" w:eastAsia="Calibri" w:hAnsi="Calibri"/>
        </w:rPr>
      </w:pPr>
      <w:r w:rsidDel="00000000" w:rsidR="00000000" w:rsidRPr="00000000">
        <w:rPr>
          <w:rFonts w:ascii="Calibri" w:cs="Calibri" w:eastAsia="Calibri" w:hAnsi="Calibri"/>
          <w:rtl w:val="0"/>
        </w:rPr>
        <w:t xml:space="preserve">2/01/2024: Distribute timeline bulletin to agencies. </w:t>
      </w:r>
    </w:p>
    <w:p w:rsidR="00000000" w:rsidDel="00000000" w:rsidP="00000000" w:rsidRDefault="00000000" w:rsidRPr="00000000" w14:paraId="00000012">
      <w:pPr>
        <w:widowControl w:val="0"/>
        <w:rPr>
          <w:rFonts w:ascii="Calibri" w:cs="Calibri" w:eastAsia="Calibri" w:hAnsi="Calibri"/>
        </w:rPr>
      </w:pPr>
      <w:r w:rsidDel="00000000" w:rsidR="00000000" w:rsidRPr="00000000">
        <w:rPr>
          <w:rFonts w:ascii="Calibri" w:cs="Calibri" w:eastAsia="Calibri" w:hAnsi="Calibri"/>
          <w:rtl w:val="0"/>
        </w:rPr>
        <w:t xml:space="preserve">2/15/2024: Distribute rosters to agencies for validation. Must be completed by 3/1.</w:t>
      </w:r>
    </w:p>
    <w:p w:rsidR="00000000" w:rsidDel="00000000" w:rsidP="00000000" w:rsidRDefault="00000000" w:rsidRPr="00000000" w14:paraId="00000013">
      <w:pPr>
        <w:widowControl w:val="0"/>
        <w:rPr>
          <w:rFonts w:ascii="Calibri" w:cs="Calibri" w:eastAsia="Calibri" w:hAnsi="Calibri"/>
        </w:rPr>
      </w:pPr>
      <w:r w:rsidDel="00000000" w:rsidR="00000000" w:rsidRPr="00000000">
        <w:rPr>
          <w:rFonts w:ascii="Calibri" w:cs="Calibri" w:eastAsia="Calibri" w:hAnsi="Calibri"/>
          <w:rtl w:val="0"/>
        </w:rPr>
        <w:t xml:space="preserve">3/01/2024: Fully address deactivated accounts. </w:t>
      </w:r>
    </w:p>
    <w:p w:rsidR="00000000" w:rsidDel="00000000" w:rsidP="00000000" w:rsidRDefault="00000000" w:rsidRPr="00000000" w14:paraId="00000014">
      <w:pPr>
        <w:widowControl w:val="0"/>
        <w:rPr>
          <w:rFonts w:ascii="Calibri" w:cs="Calibri" w:eastAsia="Calibri" w:hAnsi="Calibri"/>
        </w:rPr>
      </w:pPr>
      <w:r w:rsidDel="00000000" w:rsidR="00000000" w:rsidRPr="00000000">
        <w:rPr>
          <w:rFonts w:ascii="Calibri" w:cs="Calibri" w:eastAsia="Calibri" w:hAnsi="Calibri"/>
          <w:rtl w:val="0"/>
        </w:rPr>
        <w:t xml:space="preserve">3/18/2024: Offer daily training sessions on ePortal usage, cumulating on 3/22</w:t>
      </w:r>
    </w:p>
    <w:p w:rsidR="00000000" w:rsidDel="00000000" w:rsidP="00000000" w:rsidRDefault="00000000" w:rsidRPr="00000000" w14:paraId="00000015">
      <w:pPr>
        <w:widowControl w:val="0"/>
        <w:rPr>
          <w:rFonts w:ascii="Calibri" w:cs="Calibri" w:eastAsia="Calibri" w:hAnsi="Calibri"/>
        </w:rPr>
      </w:pPr>
      <w:r w:rsidDel="00000000" w:rsidR="00000000" w:rsidRPr="00000000">
        <w:rPr>
          <w:rFonts w:ascii="Calibri" w:cs="Calibri" w:eastAsia="Calibri" w:hAnsi="Calibri"/>
          <w:rtl w:val="0"/>
        </w:rPr>
        <w:t xml:space="preserve">3/31/2024: Provide weekly IT support during office hours every thursday 1300-1600</w:t>
      </w:r>
    </w:p>
    <w:p w:rsidR="00000000" w:rsidDel="00000000" w:rsidP="00000000" w:rsidRDefault="00000000" w:rsidRPr="00000000" w14:paraId="00000016">
      <w:pPr>
        <w:widowControl w:val="0"/>
        <w:rPr>
          <w:rFonts w:ascii="Calibri" w:cs="Calibri" w:eastAsia="Calibri" w:hAnsi="Calibri"/>
        </w:rPr>
      </w:pPr>
      <w:r w:rsidDel="00000000" w:rsidR="00000000" w:rsidRPr="00000000">
        <w:rPr>
          <w:rFonts w:ascii="Calibri" w:cs="Calibri" w:eastAsia="Calibri" w:hAnsi="Calibri"/>
          <w:rtl w:val="0"/>
        </w:rPr>
        <w:t xml:space="preserve">3/31/2024: Distribute monthly rosters to agencies with expirations. </w:t>
      </w:r>
    </w:p>
    <w:p w:rsidR="00000000" w:rsidDel="00000000" w:rsidP="00000000" w:rsidRDefault="00000000" w:rsidRPr="00000000" w14:paraId="00000017">
      <w:pPr>
        <w:widowControl w:val="0"/>
        <w:rPr>
          <w:rFonts w:ascii="Calibri" w:cs="Calibri" w:eastAsia="Calibri" w:hAnsi="Calibri"/>
        </w:rPr>
      </w:pPr>
      <w:r w:rsidDel="00000000" w:rsidR="00000000" w:rsidRPr="00000000">
        <w:rPr>
          <w:rFonts w:ascii="Calibri" w:cs="Calibri" w:eastAsia="Calibri" w:hAnsi="Calibri"/>
          <w:rtl w:val="0"/>
        </w:rPr>
        <w:t xml:space="preserve">6/03/2024: Distribute weekly rosters to agencies with expirations. </w:t>
      </w:r>
    </w:p>
    <w:p w:rsidR="00000000" w:rsidDel="00000000" w:rsidP="00000000" w:rsidRDefault="00000000" w:rsidRPr="00000000" w14:paraId="00000018">
      <w:pPr>
        <w:widowControl w:val="0"/>
        <w:rPr>
          <w:rFonts w:ascii="Calibri" w:cs="Calibri" w:eastAsia="Calibri" w:hAnsi="Calibri"/>
        </w:rPr>
      </w:pPr>
      <w:r w:rsidDel="00000000" w:rsidR="00000000" w:rsidRPr="00000000">
        <w:rPr>
          <w:rFonts w:ascii="Calibri" w:cs="Calibri" w:eastAsia="Calibri" w:hAnsi="Calibri"/>
          <w:rtl w:val="0"/>
        </w:rPr>
        <w:t xml:space="preserve">6/30/2024: Open until midnight to process late applications. </w:t>
      </w:r>
    </w:p>
    <w:p w:rsidR="00000000" w:rsidDel="00000000" w:rsidP="00000000" w:rsidRDefault="00000000" w:rsidRPr="00000000" w14:paraId="00000019">
      <w:pPr>
        <w:widowControl w:val="0"/>
        <w:rPr>
          <w:rFonts w:ascii="Calibri" w:cs="Calibri" w:eastAsia="Calibri" w:hAnsi="Calibri"/>
        </w:rPr>
      </w:pPr>
      <w:r w:rsidDel="00000000" w:rsidR="00000000" w:rsidRPr="00000000">
        <w:rPr>
          <w:rFonts w:ascii="Calibri" w:cs="Calibri" w:eastAsia="Calibri" w:hAnsi="Calibri"/>
          <w:rtl w:val="0"/>
        </w:rPr>
        <w:t xml:space="preserve">7/01/2024: Distribute final renewal rosters. </w:t>
      </w: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Closing comments offered, next meeting 4/16/2024 at 1:00pm</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728" w:top="21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-905850</wp:posOffset>
          </wp:positionH>
          <wp:positionV relativeFrom="paragraph">
            <wp:posOffset>-193645</wp:posOffset>
          </wp:positionV>
          <wp:extent cx="7790466" cy="825032"/>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0466" cy="82503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-893439</wp:posOffset>
          </wp:positionH>
          <wp:positionV relativeFrom="paragraph">
            <wp:posOffset>-222716</wp:posOffset>
          </wp:positionV>
          <wp:extent cx="7790466" cy="825032"/>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90466" cy="825032"/>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12700</wp:posOffset>
              </wp:positionV>
              <wp:extent cx="6522801" cy="320040"/>
              <wp:effectExtent b="0" l="0" r="0" t="0"/>
              <wp:wrapNone/>
              <wp:docPr id="11" name=""/>
              <a:graphic>
                <a:graphicData uri="http://schemas.microsoft.com/office/word/2010/wordprocessingShape">
                  <wps:wsp>
                    <wps:cNvSpPr/>
                    <wps:cNvPr id="2" name="Shape 2"/>
                    <wps:spPr>
                      <a:xfrm>
                        <a:off x="2113175" y="3648555"/>
                        <a:ext cx="6465651" cy="2628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56595c"/>
                              <w:sz w:val="18"/>
                              <w:vertAlign w:val="baseline"/>
                            </w:rPr>
                            <w:t xml:space="preserve">899 North Capitol Street NE, 5</w:t>
                          </w:r>
                          <w:r w:rsidDel="00000000" w:rsidR="00000000" w:rsidRPr="00000000">
                            <w:rPr>
                              <w:rFonts w:ascii="Proxima Nova" w:cs="Proxima Nova" w:eastAsia="Proxima Nova" w:hAnsi="Proxima Nova"/>
                              <w:b w:val="0"/>
                              <w:i w:val="0"/>
                              <w:smallCaps w:val="0"/>
                              <w:strike w:val="0"/>
                              <w:color w:val="56595c"/>
                              <w:sz w:val="18"/>
                              <w:vertAlign w:val="superscript"/>
                            </w:rPr>
                            <w:t xml:space="preserve">th</w:t>
                          </w:r>
                          <w:r w:rsidDel="00000000" w:rsidR="00000000" w:rsidRPr="00000000">
                            <w:rPr>
                              <w:rFonts w:ascii="Proxima Nova" w:cs="Proxima Nova" w:eastAsia="Proxima Nova" w:hAnsi="Proxima Nova"/>
                              <w:b w:val="0"/>
                              <w:i w:val="0"/>
                              <w:smallCaps w:val="0"/>
                              <w:strike w:val="0"/>
                              <w:color w:val="56595c"/>
                              <w:sz w:val="18"/>
                              <w:vertAlign w:val="baseline"/>
                            </w:rPr>
                            <w:t xml:space="preserve"> Fl, Washington, DC 20002   </w:t>
                          </w:r>
                          <w:r w:rsidDel="00000000" w:rsidR="00000000" w:rsidRPr="00000000">
                            <w:rPr>
                              <w:rFonts w:ascii="Proxima Nova" w:cs="Proxima Nova" w:eastAsia="Proxima Nova" w:hAnsi="Proxima Nova"/>
                              <w:b w:val="1"/>
                              <w:i w:val="0"/>
                              <w:smallCaps w:val="0"/>
                              <w:strike w:val="0"/>
                              <w:color w:val="c00000"/>
                              <w:sz w:val="18"/>
                              <w:vertAlign w:val="baseline"/>
                            </w:rPr>
                            <w:t xml:space="preserve">|</w:t>
                          </w:r>
                          <w:r w:rsidDel="00000000" w:rsidR="00000000" w:rsidRPr="00000000">
                            <w:rPr>
                              <w:rFonts w:ascii="Proxima Nova" w:cs="Proxima Nova" w:eastAsia="Proxima Nova" w:hAnsi="Proxima Nova"/>
                              <w:b w:val="0"/>
                              <w:i w:val="0"/>
                              <w:smallCaps w:val="0"/>
                              <w:strike w:val="0"/>
                              <w:color w:val="c00000"/>
                              <w:sz w:val="18"/>
                              <w:vertAlign w:val="baseline"/>
                            </w:rPr>
                            <w:t xml:space="preserve">   </w:t>
                          </w:r>
                          <w:r w:rsidDel="00000000" w:rsidR="00000000" w:rsidRPr="00000000">
                            <w:rPr>
                              <w:rFonts w:ascii="Proxima Nova" w:cs="Proxima Nova" w:eastAsia="Proxima Nova" w:hAnsi="Proxima Nova"/>
                              <w:b w:val="1"/>
                              <w:i w:val="0"/>
                              <w:smallCaps w:val="0"/>
                              <w:strike w:val="0"/>
                              <w:color w:val="c00000"/>
                              <w:sz w:val="16"/>
                              <w:vertAlign w:val="baseline"/>
                            </w:rPr>
                            <w:t xml:space="preserve">P </w:t>
                          </w:r>
                          <w:r w:rsidDel="00000000" w:rsidR="00000000" w:rsidRPr="00000000">
                            <w:rPr>
                              <w:rFonts w:ascii="Proxima Nova" w:cs="Proxima Nova" w:eastAsia="Proxima Nova" w:hAnsi="Proxima Nova"/>
                              <w:b w:val="0"/>
                              <w:i w:val="0"/>
                              <w:smallCaps w:val="0"/>
                              <w:strike w:val="0"/>
                              <w:color w:val="56595c"/>
                              <w:sz w:val="18"/>
                              <w:vertAlign w:val="baseline"/>
                            </w:rPr>
                            <w:t xml:space="preserve">202-442-5955   </w:t>
                          </w:r>
                          <w:r w:rsidDel="00000000" w:rsidR="00000000" w:rsidRPr="00000000">
                            <w:rPr>
                              <w:rFonts w:ascii="Proxima Nova" w:cs="Proxima Nova" w:eastAsia="Proxima Nova" w:hAnsi="Proxima Nova"/>
                              <w:b w:val="1"/>
                              <w:i w:val="0"/>
                              <w:smallCaps w:val="0"/>
                              <w:strike w:val="0"/>
                              <w:color w:val="c00000"/>
                              <w:sz w:val="18"/>
                              <w:vertAlign w:val="baseline"/>
                            </w:rPr>
                            <w:t xml:space="preserve">|</w:t>
                          </w:r>
                          <w:r w:rsidDel="00000000" w:rsidR="00000000" w:rsidRPr="00000000">
                            <w:rPr>
                              <w:rFonts w:ascii="Proxima Nova" w:cs="Proxima Nova" w:eastAsia="Proxima Nova" w:hAnsi="Proxima Nova"/>
                              <w:b w:val="0"/>
                              <w:i w:val="0"/>
                              <w:smallCaps w:val="0"/>
                              <w:strike w:val="0"/>
                              <w:color w:val="c00000"/>
                              <w:sz w:val="18"/>
                              <w:vertAlign w:val="baseline"/>
                            </w:rPr>
                            <w:t xml:space="preserve">   </w:t>
                          </w:r>
                          <w:r w:rsidDel="00000000" w:rsidR="00000000" w:rsidRPr="00000000">
                            <w:rPr>
                              <w:rFonts w:ascii="Proxima Nova" w:cs="Proxima Nova" w:eastAsia="Proxima Nova" w:hAnsi="Proxima Nova"/>
                              <w:b w:val="1"/>
                              <w:i w:val="0"/>
                              <w:smallCaps w:val="0"/>
                              <w:strike w:val="0"/>
                              <w:color w:val="c00000"/>
                              <w:sz w:val="16"/>
                              <w:vertAlign w:val="baseline"/>
                            </w:rPr>
                            <w:t xml:space="preserve">F </w:t>
                          </w:r>
                          <w:r w:rsidDel="00000000" w:rsidR="00000000" w:rsidRPr="00000000">
                            <w:rPr>
                              <w:rFonts w:ascii="Proxima Nova" w:cs="Proxima Nova" w:eastAsia="Proxima Nova" w:hAnsi="Proxima Nova"/>
                              <w:b w:val="0"/>
                              <w:i w:val="0"/>
                              <w:smallCaps w:val="0"/>
                              <w:strike w:val="0"/>
                              <w:color w:val="56595c"/>
                              <w:sz w:val="18"/>
                              <w:vertAlign w:val="baseline"/>
                            </w:rPr>
                            <w:t xml:space="preserve">202-442-4795   </w:t>
                          </w:r>
                          <w:r w:rsidDel="00000000" w:rsidR="00000000" w:rsidRPr="00000000">
                            <w:rPr>
                              <w:rFonts w:ascii="Proxima Nova" w:cs="Proxima Nova" w:eastAsia="Proxima Nova" w:hAnsi="Proxima Nova"/>
                              <w:b w:val="1"/>
                              <w:i w:val="0"/>
                              <w:smallCaps w:val="0"/>
                              <w:strike w:val="0"/>
                              <w:color w:val="c00000"/>
                              <w:sz w:val="18"/>
                              <w:vertAlign w:val="baseline"/>
                            </w:rPr>
                            <w:t xml:space="preserve">|</w:t>
                          </w:r>
                          <w:r w:rsidDel="00000000" w:rsidR="00000000" w:rsidRPr="00000000">
                            <w:rPr>
                              <w:rFonts w:ascii="Proxima Nova" w:cs="Proxima Nova" w:eastAsia="Proxima Nova" w:hAnsi="Proxima Nova"/>
                              <w:b w:val="0"/>
                              <w:i w:val="0"/>
                              <w:smallCaps w:val="0"/>
                              <w:strike w:val="0"/>
                              <w:color w:val="c00000"/>
                              <w:sz w:val="18"/>
                              <w:vertAlign w:val="baseline"/>
                            </w:rPr>
                            <w:t xml:space="preserve">   </w:t>
                          </w:r>
                          <w:r w:rsidDel="00000000" w:rsidR="00000000" w:rsidRPr="00000000">
                            <w:rPr>
                              <w:rFonts w:ascii="Proxima Nova" w:cs="Proxima Nova" w:eastAsia="Proxima Nova" w:hAnsi="Proxima Nova"/>
                              <w:b w:val="0"/>
                              <w:i w:val="0"/>
                              <w:smallCaps w:val="0"/>
                              <w:strike w:val="0"/>
                              <w:color w:val="56595c"/>
                              <w:sz w:val="18"/>
                              <w:vertAlign w:val="baseline"/>
                            </w:rPr>
                            <w:t xml:space="preserve"> dchealth.dc.gov</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12700</wp:posOffset>
              </wp:positionV>
              <wp:extent cx="6522801" cy="320040"/>
              <wp:effectExtent b="0" l="0" r="0" t="0"/>
              <wp:wrapNone/>
              <wp:docPr id="1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22801" cy="32004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widowControl w:val="0"/>
      <w:spacing w:line="276" w:lineRule="auto"/>
      <w:rPr/>
    </w:pPr>
    <w:r w:rsidDel="00000000" w:rsidR="00000000" w:rsidRPr="00000000">
      <w:rPr>
        <w:rtl w:val="0"/>
      </w:rPr>
    </w:r>
  </w:p>
  <w:tbl>
    <w:tblPr>
      <w:tblStyle w:val="Table1"/>
      <w:tblW w:w="4566.0" w:type="dxa"/>
      <w:jc w:val="left"/>
      <w:tblInd w:w="-8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6"/>
      <w:gridCol w:w="3150"/>
      <w:tblGridChange w:id="0">
        <w:tblGrid>
          <w:gridCol w:w="1416"/>
          <w:gridCol w:w="3150"/>
        </w:tblGrid>
      </w:tblGridChange>
    </w:tblGrid>
    <w:tr>
      <w:trPr>
        <w:cantSplit w:val="0"/>
        <w:tblHeader w:val="0"/>
      </w:trPr>
      <w:tc>
        <w:tcPr/>
        <w:p w:rsidR="00000000" w:rsidDel="00000000" w:rsidP="00000000" w:rsidRDefault="00000000" w:rsidRPr="00000000" w14:paraId="0000001D">
          <w:pPr>
            <w:rPr>
              <w:b w:val="1"/>
              <w:color w:val="3d403f"/>
            </w:rPr>
          </w:pPr>
          <w:r w:rsidDel="00000000" w:rsidR="00000000" w:rsidRPr="00000000">
            <w:rPr>
              <w:b w:val="1"/>
              <w:color w:val="3d403f"/>
            </w:rPr>
            <w:drawing>
              <wp:inline distB="0" distT="0" distL="0" distR="0">
                <wp:extent cx="771992" cy="992561"/>
                <wp:effectExtent b="0" l="0" r="0" t="0"/>
                <wp:docPr descr="Logo&#10;&#10;Description automatically generated" id="14" name="image3.png"/>
                <a:graphic>
                  <a:graphicData uri="http://schemas.openxmlformats.org/drawingml/2006/picture">
                    <pic:pic>
                      <pic:nvPicPr>
                        <pic:cNvPr descr="Logo&#10;&#10;Description automatically generated" id="0" name="image3.png"/>
                        <pic:cNvPicPr preferRelativeResize="0"/>
                      </pic:nvPicPr>
                      <pic:blipFill>
                        <a:blip r:embed="rId1"/>
                        <a:srcRect b="0" l="0" r="0" t="0"/>
                        <a:stretch>
                          <a:fillRect/>
                        </a:stretch>
                      </pic:blipFill>
                      <pic:spPr>
                        <a:xfrm>
                          <a:off x="0" y="0"/>
                          <a:ext cx="771992" cy="99256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E">
          <w:pPr>
            <w:rPr>
              <w:b w:val="1"/>
              <w:color w:val="3d403f"/>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-2536</wp:posOffset>
                </wp:positionH>
                <wp:positionV relativeFrom="paragraph">
                  <wp:posOffset>60960</wp:posOffset>
                </wp:positionV>
                <wp:extent cx="1658620" cy="382270"/>
                <wp:effectExtent b="0" l="0" r="0" t="0"/>
                <wp:wrapNone/>
                <wp:docPr descr="Logo&#10;&#10;Description automatically generated with low confidence" id="15" name="image2.png"/>
                <a:graphic>
                  <a:graphicData uri="http://schemas.openxmlformats.org/drawingml/2006/picture">
                    <pic:pic>
                      <pic:nvPicPr>
                        <pic:cNvPr descr="Logo&#10;&#10;Description automatically generated with low confidence" id="0" name="image2.png"/>
                        <pic:cNvPicPr preferRelativeResize="0"/>
                      </pic:nvPicPr>
                      <pic:blipFill>
                        <a:blip r:embed="rId2"/>
                        <a:srcRect b="0" l="0" r="0" t="0"/>
                        <a:stretch>
                          <a:fillRect/>
                        </a:stretch>
                      </pic:blipFill>
                      <pic:spPr>
                        <a:xfrm>
                          <a:off x="0" y="0"/>
                          <a:ext cx="1658620" cy="382270"/>
                        </a:xfrm>
                        <a:prstGeom prst="rect"/>
                        <a:ln/>
                      </pic:spPr>
                    </pic:pic>
                  </a:graphicData>
                </a:graphic>
              </wp:anchor>
            </w:drawing>
          </w:r>
        </w:p>
        <w:p w:rsidR="00000000" w:rsidDel="00000000" w:rsidP="00000000" w:rsidRDefault="00000000" w:rsidRPr="00000000" w14:paraId="0000001F">
          <w:pPr>
            <w:rPr>
              <w:b w:val="1"/>
              <w:color w:val="3d403f"/>
              <w:sz w:val="18"/>
              <w:szCs w:val="18"/>
            </w:rPr>
          </w:pPr>
          <w:r w:rsidDel="00000000" w:rsidR="00000000" w:rsidRPr="00000000">
            <w:rPr>
              <w:rtl w:val="0"/>
            </w:rPr>
          </w:r>
        </w:p>
        <w:p w:rsidR="00000000" w:rsidDel="00000000" w:rsidP="00000000" w:rsidRDefault="00000000" w:rsidRPr="00000000" w14:paraId="00000020">
          <w:pPr>
            <w:rPr>
              <w:b w:val="1"/>
              <w:color w:val="3d403f"/>
              <w:sz w:val="18"/>
              <w:szCs w:val="18"/>
            </w:rPr>
          </w:pPr>
          <w:r w:rsidDel="00000000" w:rsidR="00000000" w:rsidRPr="00000000">
            <w:rPr>
              <w:rtl w:val="0"/>
            </w:rPr>
          </w:r>
        </w:p>
        <w:p w:rsidR="00000000" w:rsidDel="00000000" w:rsidP="00000000" w:rsidRDefault="00000000" w:rsidRPr="00000000" w14:paraId="00000021">
          <w:pPr>
            <w:rPr>
              <w:b w:val="1"/>
              <w:color w:val="3d403f"/>
              <w:sz w:val="18"/>
              <w:szCs w:val="18"/>
            </w:rPr>
          </w:pPr>
          <w:r w:rsidDel="00000000" w:rsidR="00000000" w:rsidRPr="00000000">
            <w:rPr>
              <w:rtl w:val="0"/>
            </w:rPr>
          </w:r>
        </w:p>
        <w:p w:rsidR="00000000" w:rsidDel="00000000" w:rsidP="00000000" w:rsidRDefault="00000000" w:rsidRPr="00000000" w14:paraId="00000022">
          <w:pPr>
            <w:rPr>
              <w:b w:val="1"/>
              <w:color w:val="3d403f"/>
              <w:sz w:val="18"/>
              <w:szCs w:val="18"/>
            </w:rPr>
          </w:pPr>
          <w:r w:rsidDel="00000000" w:rsidR="00000000" w:rsidRPr="00000000">
            <w:rPr>
              <w:b w:val="1"/>
              <w:color w:val="3d403f"/>
              <w:sz w:val="18"/>
              <w:szCs w:val="18"/>
              <w:rtl w:val="0"/>
            </w:rPr>
            <w:t xml:space="preserve">Health Emergency Preparedness </w:t>
          </w:r>
        </w:p>
        <w:p w:rsidR="00000000" w:rsidDel="00000000" w:rsidP="00000000" w:rsidRDefault="00000000" w:rsidRPr="00000000" w14:paraId="00000023">
          <w:pPr>
            <w:rPr>
              <w:b w:val="1"/>
              <w:color w:val="3d403f"/>
              <w:sz w:val="18"/>
              <w:szCs w:val="18"/>
            </w:rPr>
          </w:pPr>
          <w:r w:rsidDel="00000000" w:rsidR="00000000" w:rsidRPr="00000000">
            <w:rPr>
              <w:b w:val="1"/>
              <w:color w:val="3d403f"/>
              <w:sz w:val="18"/>
              <w:szCs w:val="18"/>
              <w:rtl w:val="0"/>
            </w:rPr>
            <w:t xml:space="preserve">and Response Administration </w:t>
          </w:r>
        </w:p>
        <w:p w:rsidR="00000000" w:rsidDel="00000000" w:rsidP="00000000" w:rsidRDefault="00000000" w:rsidRPr="00000000" w14:paraId="00000024">
          <w:pPr>
            <w:rPr>
              <w:b w:val="1"/>
              <w:color w:val="3d403f"/>
            </w:rPr>
          </w:pPr>
          <w:r w:rsidDel="00000000" w:rsidR="00000000" w:rsidRPr="00000000">
            <w:rPr>
              <w:rtl w:val="0"/>
            </w:rPr>
          </w:r>
        </w:p>
      </w:tc>
    </w:tr>
  </w:tbl>
  <w:p w:rsidR="00000000" w:rsidDel="00000000" w:rsidP="00000000" w:rsidRDefault="00000000" w:rsidRPr="00000000" w14:paraId="00000025">
    <w:pPr>
      <w:rPr>
        <w:b w:val="1"/>
        <w:color w:val="3d403f"/>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Wooden, Brianna</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Cease &amp; Desist Order</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September 4, 2018</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Page </w:t>
    </w:r>
    <w:r w:rsidDel="00000000" w:rsidR="00000000" w:rsidRPr="00000000">
      <w:rPr>
        <w:rFonts w:ascii="Times New Roman" w:cs="Times New Roman" w:eastAsia="Times New Roman" w:hAnsi="Times New Roman"/>
        <w:b w:val="1"/>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 of </w:t>
    </w:r>
    <w:r w:rsidDel="00000000" w:rsidR="00000000" w:rsidRPr="00000000">
      <w:rPr>
        <w:rFonts w:ascii="Times New Roman" w:cs="Times New Roman" w:eastAsia="Times New Roman" w:hAnsi="Times New Roman"/>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EVvFkb8rTBc+WLmL5HSSLl+stw==">CgMxLjA4AHIhMTFFM29tZGRlUWYyb3NqUm5jQTkzUTk5dmFITDdRTFJf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ComplianceAssetId</vt:lpwstr>
  </property>
  <property fmtid="{D5CDD505-2E9C-101B-9397-08002B2CF9AE}" pid="3" name="ContentTypeId">
    <vt:lpwstr>0x010100AE0D0A12458A1A4ABBD8AF1D4CCA03DC</vt:lpwstr>
  </property>
  <property fmtid="{D5CDD505-2E9C-101B-9397-08002B2CF9AE}" pid="4" name="ComplianceAssetId">
    <vt:lpwstr>ComplianceAssetId</vt:lpwstr>
  </property>
  <property fmtid="{D5CDD505-2E9C-101B-9397-08002B2CF9AE}" pid="5" name="ContentTypeId">
    <vt:lpwstr>0x010100AE0D0A12458A1A4ABBD8AF1D4CCA03DC</vt:lpwstr>
  </property>
  <property fmtid="{D5CDD505-2E9C-101B-9397-08002B2CF9AE}" pid="6" name="ComplianceAssetId">
    <vt:lpwstr>ComplianceAssetId</vt:lpwstr>
  </property>
  <property fmtid="{D5CDD505-2E9C-101B-9397-08002B2CF9AE}" pid="7" name="ContentTypeId">
    <vt:lpwstr>0x010100AE0D0A12458A1A4ABBD8AF1D4CCA03DC</vt:lpwstr>
  </property>
</Properties>
</file>